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15" w:rsidRPr="00DF1A01" w:rsidRDefault="00D42E35" w:rsidP="00E63815">
      <w:pPr>
        <w:rPr>
          <w:rFonts w:asciiTheme="minorHAnsi" w:hAnsiTheme="minorHAnsi" w:cstheme="minorHAnsi"/>
          <w:b/>
          <w:sz w:val="18"/>
          <w:szCs w:val="18"/>
        </w:rPr>
      </w:pPr>
      <w:r w:rsidRPr="00DF1A01">
        <w:rPr>
          <w:rFonts w:asciiTheme="minorHAnsi" w:hAnsiTheme="minorHAnsi" w:cstheme="minorHAnsi"/>
          <w:b/>
          <w:sz w:val="18"/>
          <w:szCs w:val="18"/>
        </w:rPr>
        <w:t xml:space="preserve">Kleingartenanlagen im Bereich der </w:t>
      </w:r>
      <w:r w:rsidR="00C448A8">
        <w:rPr>
          <w:rFonts w:asciiTheme="minorHAnsi" w:hAnsiTheme="minorHAnsi" w:cstheme="minorHAnsi"/>
          <w:b/>
          <w:sz w:val="18"/>
          <w:szCs w:val="18"/>
        </w:rPr>
        <w:t xml:space="preserve">der Schutzzone III </w:t>
      </w:r>
      <w:r w:rsidR="00AA2F7D">
        <w:rPr>
          <w:rFonts w:asciiTheme="minorHAnsi" w:hAnsiTheme="minorHAnsi" w:cstheme="minorHAnsi"/>
          <w:b/>
          <w:sz w:val="18"/>
          <w:szCs w:val="18"/>
        </w:rPr>
        <w:t xml:space="preserve">der </w:t>
      </w:r>
      <w:r w:rsidRPr="00DF1A01">
        <w:rPr>
          <w:rFonts w:asciiTheme="minorHAnsi" w:hAnsiTheme="minorHAnsi" w:cstheme="minorHAnsi"/>
          <w:b/>
          <w:sz w:val="18"/>
          <w:szCs w:val="18"/>
        </w:rPr>
        <w:t xml:space="preserve">Wasserschutzgebietsverordnung </w:t>
      </w:r>
      <w:proofErr w:type="spellStart"/>
      <w:r w:rsidR="00AA2F7D">
        <w:rPr>
          <w:rFonts w:asciiTheme="minorHAnsi" w:hAnsiTheme="minorHAnsi" w:cstheme="minorHAnsi"/>
          <w:b/>
          <w:sz w:val="18"/>
          <w:szCs w:val="18"/>
        </w:rPr>
        <w:t>Tiefwerder</w:t>
      </w:r>
      <w:proofErr w:type="spellEnd"/>
    </w:p>
    <w:p w:rsidR="00D42E35" w:rsidRPr="00DF1A01" w:rsidRDefault="00D42E35" w:rsidP="00E63815">
      <w:pPr>
        <w:rPr>
          <w:rFonts w:asciiTheme="minorHAnsi" w:hAnsiTheme="minorHAnsi" w:cstheme="minorHAnsi"/>
          <w:b/>
          <w:sz w:val="18"/>
          <w:szCs w:val="18"/>
        </w:rPr>
      </w:pPr>
    </w:p>
    <w:p w:rsidR="00E63815" w:rsidRPr="001F3916" w:rsidRDefault="00D42E35" w:rsidP="00AA2F7D">
      <w:pPr>
        <w:rPr>
          <w:rFonts w:asciiTheme="minorHAnsi" w:hAnsiTheme="minorHAnsi" w:cstheme="minorHAnsi"/>
          <w:b/>
          <w:sz w:val="18"/>
          <w:szCs w:val="18"/>
        </w:rPr>
      </w:pPr>
      <w:r w:rsidRPr="00DF1A01">
        <w:rPr>
          <w:rFonts w:asciiTheme="minorHAnsi" w:hAnsiTheme="minorHAnsi" w:cstheme="minorHAnsi"/>
          <w:b/>
          <w:sz w:val="18"/>
          <w:szCs w:val="18"/>
        </w:rPr>
        <w:tab/>
      </w:r>
      <w:r w:rsidR="00AA2F7D">
        <w:rPr>
          <w:rFonts w:asciiTheme="minorHAnsi" w:hAnsiTheme="minorHAnsi" w:cstheme="minorHAnsi"/>
          <w:b/>
          <w:sz w:val="18"/>
          <w:szCs w:val="18"/>
        </w:rPr>
        <w:t>Tiefwerder</w:t>
      </w:r>
      <w:r w:rsidR="00F81BF1">
        <w:rPr>
          <w:rFonts w:asciiTheme="minorHAnsi" w:hAnsiTheme="minorHAnsi" w:cstheme="minorHAnsi"/>
          <w:b/>
          <w:sz w:val="18"/>
          <w:szCs w:val="18"/>
        </w:rPr>
        <w:t>b</w:t>
      </w:r>
      <w:bookmarkStart w:id="0" w:name="_GoBack"/>
      <w:bookmarkEnd w:id="0"/>
      <w:r w:rsidR="00AA2F7D">
        <w:rPr>
          <w:rFonts w:asciiTheme="minorHAnsi" w:hAnsiTheme="minorHAnsi" w:cstheme="minorHAnsi"/>
          <w:b/>
          <w:sz w:val="18"/>
          <w:szCs w:val="18"/>
        </w:rPr>
        <w:t xml:space="preserve">rücke </w:t>
      </w:r>
      <w:r w:rsidR="00AA2F7D">
        <w:rPr>
          <w:rFonts w:asciiTheme="minorHAnsi" w:hAnsiTheme="minorHAnsi" w:cstheme="minorHAnsi"/>
          <w:b/>
          <w:sz w:val="18"/>
          <w:szCs w:val="18"/>
        </w:rPr>
        <w:tab/>
      </w:r>
      <w:r w:rsidR="00AA2F7D">
        <w:rPr>
          <w:rFonts w:asciiTheme="minorHAnsi" w:hAnsiTheme="minorHAnsi" w:cstheme="minorHAnsi"/>
          <w:b/>
          <w:sz w:val="18"/>
          <w:szCs w:val="18"/>
        </w:rPr>
        <w:tab/>
        <w:t>Freiheit</w:t>
      </w:r>
      <w:r w:rsidR="00F81BF1">
        <w:rPr>
          <w:rFonts w:asciiTheme="minorHAnsi" w:hAnsiTheme="minorHAnsi" w:cstheme="minorHAnsi"/>
          <w:b/>
          <w:sz w:val="18"/>
          <w:szCs w:val="18"/>
        </w:rPr>
        <w:t>swiesen</w:t>
      </w:r>
    </w:p>
    <w:p w:rsidR="00E63815" w:rsidRDefault="00E63815" w:rsidP="001A3DB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1A3DBE" w:rsidRPr="00DF1A01" w:rsidRDefault="001A3DBE" w:rsidP="00DF1A01">
      <w:pPr>
        <w:rPr>
          <w:rFonts w:asciiTheme="minorHAnsi" w:hAnsiTheme="minorHAnsi" w:cstheme="minorHAnsi"/>
          <w:b/>
          <w:u w:val="single"/>
        </w:rPr>
      </w:pPr>
      <w:r w:rsidRPr="00DF1A01">
        <w:rPr>
          <w:rFonts w:asciiTheme="minorHAnsi" w:hAnsiTheme="minorHAnsi" w:cstheme="minorHAnsi"/>
          <w:b/>
          <w:u w:val="single"/>
        </w:rPr>
        <w:t xml:space="preserve">Auszug aus der </w:t>
      </w:r>
    </w:p>
    <w:p w:rsidR="00AD0CCE" w:rsidRPr="00E63815" w:rsidRDefault="00AD0CCE" w:rsidP="001A3DB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AA2F7D" w:rsidRPr="00AA2F7D" w:rsidRDefault="00AA2F7D" w:rsidP="00AA2F7D">
      <w:pPr>
        <w:rPr>
          <w:rFonts w:asciiTheme="minorHAnsi" w:hAnsiTheme="minorHAnsi" w:cstheme="minorHAnsi"/>
          <w:sz w:val="22"/>
          <w:szCs w:val="22"/>
        </w:rPr>
      </w:pPr>
      <w:r w:rsidRPr="00AA2F7D">
        <w:rPr>
          <w:rFonts w:asciiTheme="minorHAnsi" w:hAnsiTheme="minorHAnsi" w:cstheme="minorHAnsi"/>
          <w:sz w:val="22"/>
          <w:szCs w:val="22"/>
        </w:rPr>
        <w:t>Verordnung</w:t>
      </w:r>
    </w:p>
    <w:p w:rsidR="00AA2F7D" w:rsidRPr="00AA2F7D" w:rsidRDefault="00AA2F7D" w:rsidP="00AA2F7D">
      <w:pPr>
        <w:rPr>
          <w:rFonts w:asciiTheme="minorHAnsi" w:hAnsiTheme="minorHAnsi" w:cstheme="minorHAnsi"/>
          <w:sz w:val="22"/>
          <w:szCs w:val="22"/>
        </w:rPr>
      </w:pPr>
      <w:r w:rsidRPr="00AA2F7D">
        <w:rPr>
          <w:rFonts w:asciiTheme="minorHAnsi" w:hAnsiTheme="minorHAnsi" w:cstheme="minorHAnsi"/>
          <w:sz w:val="22"/>
          <w:szCs w:val="22"/>
        </w:rPr>
        <w:t>zur Festsetzung des Wasserschutzgebietes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2F7D">
        <w:rPr>
          <w:rFonts w:asciiTheme="minorHAnsi" w:hAnsiTheme="minorHAnsi" w:cstheme="minorHAnsi"/>
          <w:sz w:val="22"/>
          <w:szCs w:val="22"/>
        </w:rPr>
        <w:t xml:space="preserve">für das Wasserwerk </w:t>
      </w:r>
      <w:proofErr w:type="spellStart"/>
      <w:r w:rsidRPr="00AA2F7D">
        <w:rPr>
          <w:rFonts w:asciiTheme="minorHAnsi" w:hAnsiTheme="minorHAnsi" w:cstheme="minorHAnsi"/>
          <w:sz w:val="22"/>
          <w:szCs w:val="22"/>
        </w:rPr>
        <w:t>Tiefwerder</w:t>
      </w:r>
      <w:proofErr w:type="spellEnd"/>
    </w:p>
    <w:p w:rsidR="00AA2F7D" w:rsidRPr="00AA2F7D" w:rsidRDefault="00AA2F7D" w:rsidP="00AA2F7D">
      <w:pPr>
        <w:rPr>
          <w:rFonts w:asciiTheme="minorHAnsi" w:hAnsiTheme="minorHAnsi" w:cstheme="minorHAnsi"/>
          <w:sz w:val="22"/>
          <w:szCs w:val="22"/>
        </w:rPr>
      </w:pPr>
      <w:r w:rsidRPr="00AA2F7D">
        <w:rPr>
          <w:rFonts w:asciiTheme="minorHAnsi" w:hAnsiTheme="minorHAnsi" w:cstheme="minorHAnsi"/>
          <w:sz w:val="22"/>
          <w:szCs w:val="22"/>
        </w:rPr>
        <w:t xml:space="preserve">(Wasserschutzgebietsverordnung </w:t>
      </w:r>
      <w:proofErr w:type="spellStart"/>
      <w:r w:rsidRPr="00AA2F7D">
        <w:rPr>
          <w:rFonts w:asciiTheme="minorHAnsi" w:hAnsiTheme="minorHAnsi" w:cstheme="minorHAnsi"/>
          <w:sz w:val="22"/>
          <w:szCs w:val="22"/>
        </w:rPr>
        <w:t>Tiefwerder</w:t>
      </w:r>
      <w:proofErr w:type="spellEnd"/>
      <w:r w:rsidRPr="00AA2F7D">
        <w:rPr>
          <w:rFonts w:asciiTheme="minorHAnsi" w:hAnsiTheme="minorHAnsi" w:cstheme="minorHAnsi"/>
          <w:sz w:val="22"/>
          <w:szCs w:val="22"/>
        </w:rPr>
        <w:t>)</w:t>
      </w:r>
    </w:p>
    <w:p w:rsidR="009C2BE7" w:rsidRDefault="00AA2F7D" w:rsidP="00AA2F7D">
      <w:pPr>
        <w:rPr>
          <w:rFonts w:asciiTheme="minorHAnsi" w:hAnsiTheme="minorHAnsi" w:cstheme="minorHAnsi"/>
          <w:sz w:val="22"/>
          <w:szCs w:val="22"/>
        </w:rPr>
      </w:pPr>
      <w:r w:rsidRPr="00AA2F7D">
        <w:rPr>
          <w:rFonts w:asciiTheme="minorHAnsi" w:hAnsiTheme="minorHAnsi" w:cstheme="minorHAnsi"/>
          <w:sz w:val="22"/>
          <w:szCs w:val="22"/>
        </w:rPr>
        <w:t>Vom 1. September 1978</w:t>
      </w:r>
    </w:p>
    <w:p w:rsidR="001A3DBE" w:rsidRPr="00AA2F7D" w:rsidRDefault="00D53350" w:rsidP="00AA2F7D">
      <w:pPr>
        <w:rPr>
          <w:rFonts w:asciiTheme="minorHAnsi" w:hAnsiTheme="minorHAnsi" w:cstheme="minorHAnsi"/>
          <w:sz w:val="22"/>
          <w:szCs w:val="22"/>
        </w:rPr>
      </w:pPr>
      <w:r w:rsidRPr="00AA2F7D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AA2F7D" w:rsidRPr="0085151D" w:rsidRDefault="00AA2F7D" w:rsidP="00AA2F7D">
      <w:pPr>
        <w:jc w:val="center"/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§ 4</w:t>
      </w:r>
    </w:p>
    <w:p w:rsidR="00AA2F7D" w:rsidRPr="0085151D" w:rsidRDefault="00AA2F7D" w:rsidP="00AA2F7D">
      <w:pPr>
        <w:jc w:val="center"/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Schutz der Zone III</w:t>
      </w:r>
    </w:p>
    <w:p w:rsidR="00AA2F7D" w:rsidRPr="0085151D" w:rsidRDefault="00AA2F7D" w:rsidP="00AA2F7D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(1) In der weiteren Schutzzone sind verboten:</w:t>
      </w:r>
    </w:p>
    <w:p w:rsidR="00AA2F7D" w:rsidRPr="0085151D" w:rsidRDefault="00AA2F7D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 xml:space="preserve">1. </w:t>
      </w:r>
      <w:r w:rsidRPr="0085151D">
        <w:rPr>
          <w:rFonts w:asciiTheme="minorHAnsi" w:hAnsiTheme="minorHAnsi" w:cstheme="minorHAnsi"/>
          <w:b/>
          <w:sz w:val="20"/>
          <w:szCs w:val="20"/>
        </w:rPr>
        <w:t xml:space="preserve">das Einleiten von Abwasser, insbesondere durch Verregnen, </w:t>
      </w:r>
      <w:proofErr w:type="spellStart"/>
      <w:r w:rsidRPr="0085151D">
        <w:rPr>
          <w:rFonts w:asciiTheme="minorHAnsi" w:hAnsiTheme="minorHAnsi" w:cstheme="minorHAnsi"/>
          <w:b/>
          <w:sz w:val="20"/>
          <w:szCs w:val="20"/>
        </w:rPr>
        <w:t>Verrieseln</w:t>
      </w:r>
      <w:proofErr w:type="spellEnd"/>
      <w:r w:rsidRPr="0085151D">
        <w:rPr>
          <w:rFonts w:asciiTheme="minorHAnsi" w:hAnsiTheme="minorHAnsi" w:cstheme="minorHAnsi"/>
          <w:b/>
          <w:sz w:val="20"/>
          <w:szCs w:val="20"/>
        </w:rPr>
        <w:t>,</w:t>
      </w:r>
      <w:r w:rsidR="009C2BE7" w:rsidRPr="008515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b/>
          <w:sz w:val="20"/>
          <w:szCs w:val="20"/>
        </w:rPr>
        <w:t>Versickern oder Versenken in</w:t>
      </w:r>
      <w:r w:rsidR="009C2BE7" w:rsidRPr="0085151D">
        <w:rPr>
          <w:rFonts w:asciiTheme="minorHAnsi" w:hAnsiTheme="minorHAnsi" w:cstheme="minorHAnsi"/>
          <w:b/>
          <w:sz w:val="20"/>
          <w:szCs w:val="20"/>
        </w:rPr>
        <w:t xml:space="preserve"> d</w:t>
      </w:r>
      <w:r w:rsidRPr="0085151D">
        <w:rPr>
          <w:rFonts w:asciiTheme="minorHAnsi" w:hAnsiTheme="minorHAnsi" w:cstheme="minorHAnsi"/>
          <w:b/>
          <w:sz w:val="20"/>
          <w:szCs w:val="20"/>
        </w:rPr>
        <w:t>en Untergrund,</w:t>
      </w:r>
    </w:p>
    <w:p w:rsidR="00AA2F7D" w:rsidRPr="0085151D" w:rsidRDefault="00AA2F7D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2. das Einleiten von Kühl- und Kondenswasser in den Untergrund,</w:t>
      </w:r>
    </w:p>
    <w:p w:rsidR="009C2BE7" w:rsidRPr="0085151D" w:rsidRDefault="00AA2F7D" w:rsidP="009C2BE7">
      <w:pPr>
        <w:rPr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 xml:space="preserve">3. </w:t>
      </w:r>
      <w:r w:rsidRPr="0085151D">
        <w:rPr>
          <w:rFonts w:asciiTheme="minorHAnsi" w:hAnsiTheme="minorHAnsi" w:cstheme="minorHAnsi"/>
          <w:b/>
          <w:sz w:val="20"/>
          <w:szCs w:val="20"/>
        </w:rPr>
        <w:t>das Einleiten von Niederschlagswasser über Sickerschächte und Brunnen</w:t>
      </w:r>
      <w:r w:rsidR="009C2BE7" w:rsidRPr="008515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b/>
          <w:sz w:val="20"/>
          <w:szCs w:val="20"/>
        </w:rPr>
        <w:t>in den Untergrund</w:t>
      </w:r>
      <w:r w:rsidRPr="0085151D">
        <w:rPr>
          <w:sz w:val="20"/>
          <w:szCs w:val="20"/>
        </w:rPr>
        <w:t xml:space="preserve"> </w:t>
      </w:r>
    </w:p>
    <w:p w:rsidR="00AA2F7D" w:rsidRPr="0085151D" w:rsidRDefault="00AA2F7D" w:rsidP="009C2BE7">
      <w:pPr>
        <w:rPr>
          <w:rFonts w:asciiTheme="minorHAnsi" w:hAnsiTheme="minorHAnsi" w:cstheme="minorHAnsi"/>
          <w:b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 xml:space="preserve">4. </w:t>
      </w:r>
      <w:r w:rsidRPr="0085151D">
        <w:rPr>
          <w:rFonts w:asciiTheme="minorHAnsi" w:hAnsiTheme="minorHAnsi" w:cstheme="minorHAnsi"/>
          <w:b/>
          <w:sz w:val="20"/>
          <w:szCs w:val="20"/>
        </w:rPr>
        <w:t>Handlungen, die das Eindringen von Schadstoffen, wie Treibstoffen,</w:t>
      </w:r>
      <w:r w:rsidR="009C2BE7" w:rsidRPr="008515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b/>
          <w:sz w:val="20"/>
          <w:szCs w:val="20"/>
        </w:rPr>
        <w:t>Ölen, Teeren, Phenolen, in das oberirdische Gewässer, in den Untergrund</w:t>
      </w:r>
      <w:r w:rsidR="009C2BE7" w:rsidRPr="008515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b/>
          <w:sz w:val="20"/>
          <w:szCs w:val="20"/>
        </w:rPr>
        <w:t>oder in das Grundwasser ermöglichen, insbesondere das Waschen oder</w:t>
      </w:r>
      <w:r w:rsidR="009C2BE7" w:rsidRPr="008515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b/>
          <w:sz w:val="20"/>
          <w:szCs w:val="20"/>
        </w:rPr>
        <w:t>Instandsetzen von Kraftfahrzeugen, die Vornahme von Ölwechsel oder</w:t>
      </w:r>
      <w:r w:rsidR="009C2BE7" w:rsidRPr="008515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b/>
          <w:sz w:val="20"/>
          <w:szCs w:val="20"/>
        </w:rPr>
        <w:t>das Umladen von Wagen der Fäkalabfuhr,</w:t>
      </w:r>
    </w:p>
    <w:p w:rsidR="009C2BE7" w:rsidRPr="0085151D" w:rsidRDefault="00AA2F7D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5. das Errichten von geschlossenen Wohnsiedlungen und gewerblichen</w:t>
      </w:r>
      <w:r w:rsidR="009C2BE7" w:rsidRPr="0085151D">
        <w:rPr>
          <w:rFonts w:asciiTheme="minorHAnsi" w:hAnsiTheme="minorHAnsi" w:cstheme="minorHAnsi"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sz w:val="20"/>
          <w:szCs w:val="20"/>
        </w:rPr>
        <w:t xml:space="preserve">Anlagen ohne </w:t>
      </w:r>
      <w:proofErr w:type="spellStart"/>
      <w:r w:rsidRPr="0085151D">
        <w:rPr>
          <w:rFonts w:asciiTheme="minorHAnsi" w:hAnsiTheme="minorHAnsi" w:cstheme="minorHAnsi"/>
          <w:sz w:val="20"/>
          <w:szCs w:val="20"/>
        </w:rPr>
        <w:t>Anschluß</w:t>
      </w:r>
      <w:proofErr w:type="spellEnd"/>
      <w:r w:rsidRPr="0085151D">
        <w:rPr>
          <w:rFonts w:asciiTheme="minorHAnsi" w:hAnsiTheme="minorHAnsi" w:cstheme="minorHAnsi"/>
          <w:sz w:val="20"/>
          <w:szCs w:val="20"/>
        </w:rPr>
        <w:t xml:space="preserve"> an die öffentliche Entwässerung,</w:t>
      </w:r>
    </w:p>
    <w:p w:rsidR="00AA2F7D" w:rsidRPr="0085151D" w:rsidRDefault="00AA2F7D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6. Erdaufschlüsse (Gruben, Bohrungen oder ähnliche Aufschlüsse) ohne</w:t>
      </w:r>
      <w:r w:rsidR="009C2BE7" w:rsidRPr="0085151D">
        <w:rPr>
          <w:rFonts w:asciiTheme="minorHAnsi" w:hAnsiTheme="minorHAnsi" w:cstheme="minorHAnsi"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sz w:val="20"/>
          <w:szCs w:val="20"/>
        </w:rPr>
        <w:t>ausreichende Sicherungen gegen eine schädliche Verunreinigung des</w:t>
      </w:r>
      <w:r w:rsidR="009C2BE7" w:rsidRPr="0085151D">
        <w:rPr>
          <w:rFonts w:asciiTheme="minorHAnsi" w:hAnsiTheme="minorHAnsi" w:cstheme="minorHAnsi"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sz w:val="20"/>
          <w:szCs w:val="20"/>
        </w:rPr>
        <w:t>Grundwassers,</w:t>
      </w:r>
    </w:p>
    <w:p w:rsidR="009C2BE7" w:rsidRPr="0085151D" w:rsidRDefault="00AA2F7D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7.</w:t>
      </w:r>
      <w:r w:rsidR="009C2BE7" w:rsidRPr="0085151D">
        <w:rPr>
          <w:rFonts w:asciiTheme="minorHAnsi" w:hAnsiTheme="minorHAnsi" w:cstheme="minorHAnsi"/>
          <w:sz w:val="20"/>
          <w:szCs w:val="20"/>
        </w:rPr>
        <w:t xml:space="preserve"> </w:t>
      </w:r>
      <w:r w:rsidR="009C2BE7" w:rsidRPr="0085151D">
        <w:rPr>
          <w:rFonts w:asciiTheme="minorHAnsi" w:hAnsiTheme="minorHAnsi" w:cstheme="minorHAnsi"/>
          <w:b/>
          <w:sz w:val="20"/>
          <w:szCs w:val="20"/>
        </w:rPr>
        <w:t>das Erneuern, Errichten und Erweitern von Anlagen zur Eigenwasserversorgung</w:t>
      </w:r>
      <w:r w:rsidR="009C2BE7" w:rsidRPr="0085151D">
        <w:rPr>
          <w:rFonts w:asciiTheme="minorHAnsi" w:hAnsiTheme="minorHAnsi" w:cstheme="minorHAnsi"/>
          <w:sz w:val="20"/>
          <w:szCs w:val="20"/>
        </w:rPr>
        <w:t>,</w:t>
      </w:r>
    </w:p>
    <w:p w:rsidR="00AA2F7D" w:rsidRPr="0085151D" w:rsidRDefault="009C2BE7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8. Sprengungen, die auf den gewachsenen Boden einwirken</w:t>
      </w:r>
      <w:r w:rsidR="00AA2F7D" w:rsidRPr="0085151D">
        <w:rPr>
          <w:rFonts w:asciiTheme="minorHAnsi" w:hAnsiTheme="minorHAnsi" w:cstheme="minorHAnsi"/>
          <w:sz w:val="20"/>
          <w:szCs w:val="20"/>
        </w:rPr>
        <w:t>,</w:t>
      </w:r>
      <w:r w:rsidRPr="0085151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A2F7D" w:rsidRPr="0085151D" w:rsidRDefault="00AA2F7D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9. das Lagern oder Ablagern von wassergefährdenden Schlämmen oder</w:t>
      </w:r>
      <w:r w:rsidR="009C2BE7" w:rsidRPr="0085151D">
        <w:rPr>
          <w:rFonts w:asciiTheme="minorHAnsi" w:hAnsiTheme="minorHAnsi" w:cstheme="minorHAnsi"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sz w:val="20"/>
          <w:szCs w:val="20"/>
        </w:rPr>
        <w:t>festen, wassergefährdenden Stoffen,</w:t>
      </w:r>
    </w:p>
    <w:p w:rsidR="00AA2F7D" w:rsidRPr="0085151D" w:rsidRDefault="00AA2F7D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10. das Anlegen und Betreiben von Abfallbeseitigungsanlagen für Müll,</w:t>
      </w:r>
      <w:r w:rsidR="009C2BE7" w:rsidRPr="0085151D">
        <w:rPr>
          <w:rFonts w:asciiTheme="minorHAnsi" w:hAnsiTheme="minorHAnsi" w:cstheme="minorHAnsi"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sz w:val="20"/>
          <w:szCs w:val="20"/>
        </w:rPr>
        <w:t>Schutt, Autowracks und sonstige Abfälle,</w:t>
      </w:r>
    </w:p>
    <w:p w:rsidR="00AA2F7D" w:rsidRPr="0085151D" w:rsidRDefault="00AA2F7D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11. das Errichten und Betreiben von Tankstellen,</w:t>
      </w:r>
    </w:p>
    <w:p w:rsidR="00AA2F7D" w:rsidRPr="0085151D" w:rsidRDefault="00AA2F7D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 xml:space="preserve">12. das Aufbringen von wassergefährdenden Kaltbindemitteln (z. </w:t>
      </w:r>
      <w:proofErr w:type="spellStart"/>
      <w:r w:rsidRPr="0085151D">
        <w:rPr>
          <w:rFonts w:asciiTheme="minorHAnsi" w:hAnsiTheme="minorHAnsi" w:cstheme="minorHAnsi"/>
          <w:sz w:val="20"/>
          <w:szCs w:val="20"/>
        </w:rPr>
        <w:t>B.Teeremulsionen</w:t>
      </w:r>
      <w:proofErr w:type="spellEnd"/>
      <w:r w:rsidRPr="0085151D">
        <w:rPr>
          <w:rFonts w:asciiTheme="minorHAnsi" w:hAnsiTheme="minorHAnsi" w:cstheme="minorHAnsi"/>
          <w:sz w:val="20"/>
          <w:szCs w:val="20"/>
        </w:rPr>
        <w:t>)</w:t>
      </w:r>
      <w:r w:rsidR="009C2BE7" w:rsidRPr="0085151D">
        <w:rPr>
          <w:rFonts w:asciiTheme="minorHAnsi" w:hAnsiTheme="minorHAnsi" w:cstheme="minorHAnsi"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sz w:val="20"/>
          <w:szCs w:val="20"/>
        </w:rPr>
        <w:t>unmittelbar auf den Untergrund, insbesondere zum Straßen-,</w:t>
      </w:r>
      <w:r w:rsidR="009C2BE7" w:rsidRPr="0085151D">
        <w:rPr>
          <w:rFonts w:asciiTheme="minorHAnsi" w:hAnsiTheme="minorHAnsi" w:cstheme="minorHAnsi"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sz w:val="20"/>
          <w:szCs w:val="20"/>
        </w:rPr>
        <w:t>Wasser-</w:t>
      </w:r>
      <w:r w:rsidR="009C2BE7" w:rsidRPr="0085151D">
        <w:rPr>
          <w:rFonts w:asciiTheme="minorHAnsi" w:hAnsiTheme="minorHAnsi" w:cstheme="minorHAnsi"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sz w:val="20"/>
          <w:szCs w:val="20"/>
        </w:rPr>
        <w:t>und Wegebau, mit Ausnahme kleinerer Ausbesserungen,</w:t>
      </w:r>
    </w:p>
    <w:p w:rsidR="00AA2F7D" w:rsidRPr="0085151D" w:rsidRDefault="00AA2F7D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13. das Verfüllen von Gewässern und Erdaufschlüssen mit wassergefährdenden</w:t>
      </w:r>
      <w:r w:rsidR="009C2BE7" w:rsidRPr="0085151D">
        <w:rPr>
          <w:rFonts w:asciiTheme="minorHAnsi" w:hAnsiTheme="minorHAnsi" w:cstheme="minorHAnsi"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sz w:val="20"/>
          <w:szCs w:val="20"/>
        </w:rPr>
        <w:t>Stoffen, wie hygienisch nicht einwandfreiem Boden,</w:t>
      </w:r>
    </w:p>
    <w:p w:rsidR="00AA2F7D" w:rsidRPr="0085151D" w:rsidRDefault="00AA2F7D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14. das Anlegen und Erweitern von öffentlichen und privaten Grabstätten.</w:t>
      </w:r>
    </w:p>
    <w:p w:rsidR="00B35FD2" w:rsidRPr="0085151D" w:rsidRDefault="00AA2F7D" w:rsidP="009C2BE7">
      <w:pPr>
        <w:rPr>
          <w:rFonts w:asciiTheme="minorHAnsi" w:hAnsiTheme="minorHAnsi" w:cstheme="minorHAnsi"/>
          <w:b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 xml:space="preserve">(2) </w:t>
      </w:r>
      <w:r w:rsidRPr="0085151D">
        <w:rPr>
          <w:rFonts w:asciiTheme="minorHAnsi" w:hAnsiTheme="minorHAnsi" w:cstheme="minorHAnsi"/>
          <w:b/>
          <w:sz w:val="20"/>
          <w:szCs w:val="20"/>
        </w:rPr>
        <w:t>Bestehende Kläranlagen, Kleinkläranlagen und Gruben sowie die dazugehörigen</w:t>
      </w:r>
      <w:r w:rsidR="009C2BE7" w:rsidRPr="008515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b/>
          <w:sz w:val="20"/>
          <w:szCs w:val="20"/>
        </w:rPr>
        <w:t>Rohrleitungen müssen dicht sein. Das gleiche gilt für die Anlagen</w:t>
      </w:r>
      <w:r w:rsidR="009C2BE7" w:rsidRPr="008515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b/>
          <w:sz w:val="20"/>
          <w:szCs w:val="20"/>
        </w:rPr>
        <w:t>der Abwasserkanalisation mit den dazugehörigen Hausanschlüssen. Der</w:t>
      </w:r>
      <w:r w:rsidR="009C2BE7" w:rsidRPr="008515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b/>
          <w:sz w:val="20"/>
          <w:szCs w:val="20"/>
        </w:rPr>
        <w:t>Betreiber ist verpflichtet, auf Verlangen der Wasserbehörde die Dichtigkeit der</w:t>
      </w:r>
      <w:r w:rsidR="009C2BE7" w:rsidRPr="008515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b/>
          <w:sz w:val="20"/>
          <w:szCs w:val="20"/>
        </w:rPr>
        <w:t>vorgenannten Anlagen sowie der dazugehörigen Leitungen durch öffentlich</w:t>
      </w:r>
      <w:r w:rsidR="009C2BE7" w:rsidRPr="008515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51D">
        <w:rPr>
          <w:rFonts w:asciiTheme="minorHAnsi" w:hAnsiTheme="minorHAnsi" w:cstheme="minorHAnsi"/>
          <w:b/>
          <w:sz w:val="20"/>
          <w:szCs w:val="20"/>
        </w:rPr>
        <w:t>bestellte Sachverständige auf seine Kosten überprüfen zu lassen.</w:t>
      </w:r>
    </w:p>
    <w:p w:rsidR="009C2BE7" w:rsidRPr="0085151D" w:rsidRDefault="009C2BE7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……</w:t>
      </w:r>
    </w:p>
    <w:p w:rsidR="009C2BE7" w:rsidRPr="0085151D" w:rsidRDefault="009C2BE7" w:rsidP="009C2BE7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§ 11</w:t>
      </w:r>
    </w:p>
    <w:p w:rsidR="009C2BE7" w:rsidRPr="0085151D" w:rsidRDefault="009C2BE7" w:rsidP="009C2BE7">
      <w:pPr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Ordnungswidrigkeiten</w:t>
      </w:r>
    </w:p>
    <w:p w:rsidR="009C2BE7" w:rsidRPr="0085151D" w:rsidRDefault="009C2BE7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Ordnungswidrig im Sinne des § 41 Abs. 1 Nr. 2 des Wasserhaushaltsgesetzes</w:t>
      </w:r>
    </w:p>
    <w:p w:rsidR="009C2BE7" w:rsidRPr="0085151D" w:rsidRDefault="009C2BE7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handelt, wer</w:t>
      </w:r>
    </w:p>
    <w:p w:rsidR="0085151D" w:rsidRPr="0085151D" w:rsidRDefault="009C2BE7" w:rsidP="0085151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in der weiteren Schutzzone (Zone III) eine nach § 4 Abs. 1 oder in der engeren Schutzzone (Zone II) eine nach den §§ 4 oder 5 verbotene Handlung vornimmt,</w:t>
      </w:r>
    </w:p>
    <w:p w:rsidR="0085151D" w:rsidRPr="0085151D" w:rsidRDefault="009C2BE7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………..</w:t>
      </w:r>
    </w:p>
    <w:p w:rsidR="0085151D" w:rsidRPr="0085151D" w:rsidRDefault="0085151D" w:rsidP="009C2BE7">
      <w:pPr>
        <w:rPr>
          <w:rFonts w:asciiTheme="minorHAnsi" w:hAnsiTheme="minorHAnsi" w:cstheme="minorHAnsi"/>
          <w:sz w:val="20"/>
          <w:szCs w:val="20"/>
        </w:rPr>
      </w:pPr>
    </w:p>
    <w:p w:rsidR="0085151D" w:rsidRDefault="0085151D" w:rsidP="009C2BE7">
      <w:pPr>
        <w:rPr>
          <w:rFonts w:asciiTheme="minorHAnsi" w:hAnsiTheme="minorHAnsi" w:cstheme="minorHAnsi"/>
          <w:sz w:val="22"/>
          <w:szCs w:val="22"/>
        </w:rPr>
      </w:pPr>
    </w:p>
    <w:p w:rsidR="0085151D" w:rsidRDefault="0085151D" w:rsidP="009C2BE7">
      <w:pPr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Hinweis: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ab/>
        <w:t>Die Hervorhebungen im Fettdruck sind nicht im Original.</w:t>
      </w:r>
    </w:p>
    <w:p w:rsidR="0085151D" w:rsidRDefault="0085151D" w:rsidP="0085151D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Im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übrigen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wird auf den vollständigen Text der Wasserschutzgebietsverordnung </w:t>
      </w:r>
      <w:proofErr w:type="spellStart"/>
      <w:r>
        <w:rPr>
          <w:rFonts w:asciiTheme="minorHAnsi" w:hAnsiTheme="minorHAnsi" w:cstheme="minorHAnsi"/>
          <w:sz w:val="20"/>
          <w:szCs w:val="20"/>
        </w:rPr>
        <w:t>Tiefwerder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(Gesetz und Verordnungsblatt Berlin 1978 Seite 1910) verwiesen.</w:t>
      </w:r>
    </w:p>
    <w:p w:rsidR="0085151D" w:rsidRDefault="0085151D" w:rsidP="0085151D">
      <w:pPr>
        <w:ind w:left="1416"/>
        <w:rPr>
          <w:rFonts w:asciiTheme="minorHAnsi" w:hAnsiTheme="minorHAnsi" w:cstheme="minorHAnsi"/>
          <w:b/>
          <w:sz w:val="20"/>
          <w:szCs w:val="20"/>
        </w:rPr>
      </w:pPr>
      <w:r w:rsidRPr="0085151D">
        <w:rPr>
          <w:rFonts w:asciiTheme="minorHAnsi" w:hAnsiTheme="minorHAnsi" w:cstheme="minorHAnsi"/>
          <w:b/>
          <w:sz w:val="20"/>
          <w:szCs w:val="20"/>
        </w:rPr>
        <w:t>Die Dichtigkeitsprüfung nach § 4 Abs.2 mu</w:t>
      </w:r>
      <w:r>
        <w:rPr>
          <w:rFonts w:asciiTheme="minorHAnsi" w:hAnsiTheme="minorHAnsi" w:cstheme="minorHAnsi"/>
          <w:b/>
          <w:sz w:val="20"/>
          <w:szCs w:val="20"/>
        </w:rPr>
        <w:t>ss</w:t>
      </w:r>
      <w:r w:rsidRPr="0085151D">
        <w:rPr>
          <w:rFonts w:asciiTheme="minorHAnsi" w:hAnsiTheme="minorHAnsi" w:cstheme="minorHAnsi"/>
          <w:b/>
          <w:sz w:val="20"/>
          <w:szCs w:val="20"/>
        </w:rPr>
        <w:t xml:space="preserve"> alle 10 Jahre wiederholt werden.</w:t>
      </w:r>
    </w:p>
    <w:p w:rsidR="0085151D" w:rsidRDefault="0085151D" w:rsidP="0085151D">
      <w:pPr>
        <w:ind w:left="1416"/>
        <w:rPr>
          <w:rFonts w:asciiTheme="minorHAnsi" w:hAnsiTheme="minorHAnsi" w:cstheme="minorHAnsi"/>
          <w:b/>
          <w:sz w:val="20"/>
          <w:szCs w:val="20"/>
        </w:rPr>
      </w:pPr>
    </w:p>
    <w:p w:rsidR="0085151D" w:rsidRDefault="0085151D" w:rsidP="0085151D">
      <w:pPr>
        <w:ind w:left="1416"/>
        <w:rPr>
          <w:rFonts w:asciiTheme="minorHAnsi" w:hAnsiTheme="minorHAnsi" w:cstheme="minorHAnsi"/>
          <w:b/>
          <w:sz w:val="20"/>
          <w:szCs w:val="20"/>
        </w:rPr>
      </w:pPr>
    </w:p>
    <w:p w:rsidR="0085151D" w:rsidRDefault="0085151D" w:rsidP="0085151D">
      <w:pPr>
        <w:ind w:left="1416"/>
        <w:rPr>
          <w:rFonts w:asciiTheme="minorHAnsi" w:hAnsiTheme="minorHAnsi" w:cstheme="minorHAnsi"/>
          <w:b/>
          <w:sz w:val="20"/>
          <w:szCs w:val="20"/>
        </w:rPr>
      </w:pPr>
    </w:p>
    <w:p w:rsidR="0085151D" w:rsidRDefault="0085151D" w:rsidP="0085151D">
      <w:pPr>
        <w:ind w:left="1416"/>
        <w:rPr>
          <w:rFonts w:asciiTheme="minorHAnsi" w:hAnsiTheme="minorHAnsi" w:cstheme="minorHAnsi"/>
          <w:b/>
          <w:sz w:val="20"/>
          <w:szCs w:val="20"/>
        </w:rPr>
      </w:pPr>
    </w:p>
    <w:p w:rsidR="0085151D" w:rsidRDefault="0085151D" w:rsidP="0085151D">
      <w:pPr>
        <w:ind w:left="1416"/>
        <w:rPr>
          <w:rFonts w:asciiTheme="minorHAnsi" w:hAnsiTheme="minorHAnsi" w:cstheme="minorHAnsi"/>
          <w:b/>
          <w:sz w:val="20"/>
          <w:szCs w:val="20"/>
        </w:rPr>
      </w:pPr>
    </w:p>
    <w:p w:rsidR="0085151D" w:rsidRPr="0085151D" w:rsidRDefault="0085151D" w:rsidP="0085151D">
      <w:pPr>
        <w:ind w:left="1416"/>
        <w:jc w:val="right"/>
        <w:rPr>
          <w:rFonts w:asciiTheme="minorHAnsi" w:hAnsiTheme="minorHAnsi" w:cstheme="minorHAnsi"/>
          <w:sz w:val="20"/>
          <w:szCs w:val="20"/>
        </w:rPr>
      </w:pPr>
      <w:r w:rsidRPr="0085151D">
        <w:rPr>
          <w:rFonts w:asciiTheme="minorHAnsi" w:hAnsiTheme="minorHAnsi" w:cstheme="minorHAnsi"/>
          <w:sz w:val="20"/>
          <w:szCs w:val="20"/>
        </w:rPr>
        <w:t>17.07.2018</w:t>
      </w:r>
    </w:p>
    <w:sectPr w:rsidR="0085151D" w:rsidRPr="0085151D" w:rsidSect="00DF1A0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5486"/>
    <w:multiLevelType w:val="hybridMultilevel"/>
    <w:tmpl w:val="4E1E3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BE"/>
    <w:rsid w:val="000219D6"/>
    <w:rsid w:val="000C6154"/>
    <w:rsid w:val="001A3DBE"/>
    <w:rsid w:val="001F3916"/>
    <w:rsid w:val="002A59FF"/>
    <w:rsid w:val="00334534"/>
    <w:rsid w:val="004002C3"/>
    <w:rsid w:val="0042002A"/>
    <w:rsid w:val="00444AF1"/>
    <w:rsid w:val="006C5FFC"/>
    <w:rsid w:val="006E5FDD"/>
    <w:rsid w:val="00722C8E"/>
    <w:rsid w:val="00760E07"/>
    <w:rsid w:val="007730D6"/>
    <w:rsid w:val="0079425D"/>
    <w:rsid w:val="0085151D"/>
    <w:rsid w:val="00861DA3"/>
    <w:rsid w:val="009C2BE7"/>
    <w:rsid w:val="009E4E84"/>
    <w:rsid w:val="00A036DF"/>
    <w:rsid w:val="00A44CAB"/>
    <w:rsid w:val="00A83A31"/>
    <w:rsid w:val="00AA2F7D"/>
    <w:rsid w:val="00AD0CCE"/>
    <w:rsid w:val="00AD68D9"/>
    <w:rsid w:val="00B103F6"/>
    <w:rsid w:val="00B35FD2"/>
    <w:rsid w:val="00B74F85"/>
    <w:rsid w:val="00BA0F2D"/>
    <w:rsid w:val="00BA7645"/>
    <w:rsid w:val="00BC1133"/>
    <w:rsid w:val="00BD7219"/>
    <w:rsid w:val="00C24533"/>
    <w:rsid w:val="00C448A8"/>
    <w:rsid w:val="00D078E3"/>
    <w:rsid w:val="00D42E35"/>
    <w:rsid w:val="00D53350"/>
    <w:rsid w:val="00DB7655"/>
    <w:rsid w:val="00DF1A01"/>
    <w:rsid w:val="00DF6EFF"/>
    <w:rsid w:val="00E63815"/>
    <w:rsid w:val="00E63934"/>
    <w:rsid w:val="00EE2784"/>
    <w:rsid w:val="00EF0992"/>
    <w:rsid w:val="00F155BF"/>
    <w:rsid w:val="00F47F8A"/>
    <w:rsid w:val="00F81BF1"/>
    <w:rsid w:val="00F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EE4C"/>
  <w15:docId w15:val="{FBB6157A-CFC7-4D38-8253-22A6547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3D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times roman 12"/>
    <w:basedOn w:val="Standard"/>
    <w:next w:val="Standard"/>
    <w:link w:val="berschrift1Zchn"/>
    <w:uiPriority w:val="9"/>
    <w:qFormat/>
    <w:rsid w:val="002A59FF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mes roman 12 Zchn"/>
    <w:basedOn w:val="Absatz-Standardschriftart"/>
    <w:link w:val="berschrift1"/>
    <w:uiPriority w:val="9"/>
    <w:rsid w:val="002A59F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8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81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5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89FCC919</Template>
  <TotalTime>0</TotalTime>
  <Pages>1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Hofschläger</dc:creator>
  <cp:lastModifiedBy>Sabine Goehring</cp:lastModifiedBy>
  <cp:revision>3</cp:revision>
  <cp:lastPrinted>2018-09-03T10:42:00Z</cp:lastPrinted>
  <dcterms:created xsi:type="dcterms:W3CDTF">2018-08-31T10:47:00Z</dcterms:created>
  <dcterms:modified xsi:type="dcterms:W3CDTF">2018-09-03T10:42:00Z</dcterms:modified>
</cp:coreProperties>
</file>